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ind w:left="360" w:firstLine="0"/>
        <w:jc w:val="both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14:textFill>
            <w14:solidFill>
              <w14:srgbClr w14:val="15428B"/>
            </w14:solidFill>
          </w14:textFill>
        </w:rPr>
        <w:t>Р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:lang w:val="ru-RU"/>
          <w14:textFill>
            <w14:solidFill>
              <w14:srgbClr w14:val="15428B"/>
            </w14:solidFill>
          </w14:textFill>
        </w:rPr>
        <w:t>адиотехник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14:textFill>
            <w14:solidFill>
              <w14:srgbClr w14:val="15428B"/>
            </w14:solidFill>
          </w14:textFill>
        </w:rPr>
        <w:t>а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:lang w:val="ru-RU"/>
          <w14:textFill>
            <w14:solidFill>
              <w14:srgbClr w14:val="15428B"/>
            </w14:solidFill>
          </w14:textFill>
        </w:rPr>
        <w:t xml:space="preserve"> 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14:textFill>
            <w14:solidFill>
              <w14:srgbClr w14:val="15428B"/>
            </w14:solidFill>
          </w14:textFill>
        </w:rPr>
        <w:t xml:space="preserve">және 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:lang w:val="ru-RU"/>
          <w14:textFill>
            <w14:solidFill>
              <w14:srgbClr w14:val="15428B"/>
            </w14:solidFill>
          </w14:textFill>
        </w:rPr>
        <w:t xml:space="preserve"> телекоммуникаци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14:textFill>
            <w14:solidFill>
              <w14:srgbClr w14:val="15428B"/>
            </w14:solidFill>
          </w14:textFill>
        </w:rPr>
        <w:t>я негіздері</w:t>
      </w:r>
    </w:p>
    <w:p>
      <w:pPr>
        <w:pStyle w:val="Обычный"/>
        <w:ind w:left="360" w:firstLine="0"/>
        <w:jc w:val="both"/>
        <w:rPr>
          <w:sz w:val="28"/>
          <w:szCs w:val="28"/>
        </w:rPr>
      </w:pP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Тасымалдаушы жиілігі Ω жиілікті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модульделген сигнал</w:t>
      </w:r>
      <w:r>
        <w:rPr>
          <w:sz w:val="28"/>
          <w:szCs w:val="28"/>
          <w:rtl w:val="0"/>
        </w:rPr>
        <w:t>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Амплитудалық модульденген сигналдардың пайдалы жұмыс коэффициенті және энергиясы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Модуляция жиілігі ω</w:t>
      </w:r>
      <w:r>
        <w:rPr>
          <w:sz w:val="28"/>
          <w:szCs w:val="28"/>
          <w:vertAlign w:val="subscript"/>
          <w:rtl w:val="0"/>
        </w:rPr>
        <w:t xml:space="preserve">0 </w:t>
      </w:r>
      <w:r>
        <w:rPr>
          <w:sz w:val="28"/>
          <w:szCs w:val="28"/>
          <w:rtl w:val="0"/>
        </w:rPr>
        <w:t>фазалы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модульделген сигнал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caps w:val="1"/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 xml:space="preserve">одуляцияланған радиосигналдар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Амплитуда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импульстік модуляция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Период мен импульс ұзындықтары берілген сигналдың формуласы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Автотербелмелі жүйелердің синхронизациясы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Адлер теңдеуі</w:t>
      </w:r>
      <w:r>
        <w:rPr>
          <w:sz w:val="28"/>
          <w:szCs w:val="28"/>
          <w:rtl w:val="0"/>
        </w:rPr>
        <w:t>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Арнольд диаграммасы</w:t>
      </w:r>
      <w:r>
        <w:rPr>
          <w:sz w:val="28"/>
          <w:szCs w:val="28"/>
          <w:rtl w:val="0"/>
        </w:rPr>
        <w:t>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Фазалық және жиіліктік модуляциялардың айырмашылықтары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caps w:val="1"/>
          <w:sz w:val="28"/>
          <w:szCs w:val="28"/>
          <w:rtl w:val="0"/>
        </w:rPr>
        <w:t>Ж</w:t>
      </w:r>
      <w:r>
        <w:rPr>
          <w:sz w:val="28"/>
          <w:szCs w:val="28"/>
          <w:rtl w:val="0"/>
        </w:rPr>
        <w:t xml:space="preserve">иіліктердің фазалық автоүйлесуі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Фазалық компораторлар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Кернеумен басқарылатын генератор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Кернеумен басқарылатын генераторларда варикаптың қолданылуы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caps w:val="1"/>
          <w:sz w:val="28"/>
          <w:szCs w:val="28"/>
          <w:rtl w:val="0"/>
        </w:rPr>
        <w:t>Э</w:t>
      </w:r>
      <w:r>
        <w:rPr>
          <w:sz w:val="28"/>
          <w:szCs w:val="28"/>
          <w:rtl w:val="0"/>
        </w:rPr>
        <w:t>лектромагниттік толқындардың спектрлік жиіліктері</w:t>
      </w:r>
    </w:p>
    <w:p>
      <w:pPr>
        <w:pStyle w:val="Обычный"/>
        <w:jc w:val="both"/>
        <w:rPr>
          <w:caps w:val="1"/>
          <w:sz w:val="28"/>
          <w:szCs w:val="28"/>
        </w:rPr>
      </w:pP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Информация  түсінігі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информациялық  энтропия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Байланыс каналындағы информацияның жоғалуы</w:t>
      </w:r>
      <w:r>
        <w:rPr>
          <w:sz w:val="28"/>
          <w:szCs w:val="28"/>
          <w:rtl w:val="0"/>
        </w:rPr>
        <w:t>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Байланыс каналдарының өткізіу қабілеті</w:t>
      </w:r>
      <w:r>
        <w:rPr>
          <w:sz w:val="28"/>
          <w:szCs w:val="28"/>
          <w:rtl w:val="0"/>
        </w:rPr>
        <w:t xml:space="preserve">.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Информацияны беру жылдамдығы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Шеннон информациясы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формуласы</w:t>
      </w:r>
      <w:r>
        <w:rPr>
          <w:sz w:val="28"/>
          <w:szCs w:val="28"/>
          <w:rtl w:val="0"/>
        </w:rPr>
        <w:t>).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Байланыс каналының өткізу қабілеті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Шеннон формуласы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caps w:val="1"/>
          <w:sz w:val="28"/>
          <w:szCs w:val="28"/>
          <w:rtl w:val="0"/>
        </w:rPr>
        <w:t>Б</w:t>
      </w:r>
      <w:r>
        <w:rPr>
          <w:sz w:val="28"/>
          <w:szCs w:val="28"/>
          <w:rtl w:val="0"/>
        </w:rPr>
        <w:t>айланыс каналдарының</w:t>
      </w:r>
      <w:r>
        <w:rPr>
          <w:caps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өткізу қабілетіне анықтама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мысал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Шартты ықтималдық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анықтау алгоритмі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Шартты энтропия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қолдану мысалдары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Информацияны энтропия айырымы арқылы анықтау</w:t>
      </w:r>
    </w:p>
    <w:p>
      <w:pPr>
        <w:pStyle w:val="Обычный"/>
        <w:jc w:val="both"/>
        <w:rPr>
          <w:caps w:val="1"/>
          <w:sz w:val="28"/>
          <w:szCs w:val="28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Электромагниттік өрістің негізгі теңдеулері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Жиіліктің электромагниттік өрістегі толқындық санмен байланысы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Диэлектрлік өткізгіштіктің плазмалық жиілікпен байланысы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Электромагниттік толқынның өтуінің шашырау шарты</w:t>
      </w:r>
      <w:r>
        <w:rPr>
          <w:caps w:val="1"/>
          <w:sz w:val="28"/>
          <w:szCs w:val="28"/>
          <w:rtl w:val="0"/>
        </w:rPr>
        <w:t xml:space="preserve"> 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Наносферада радиотолқынның таралуы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ind w:firstLine="75"/>
        <w:jc w:val="both"/>
        <w:rPr>
          <w:caps w:val="1"/>
          <w:sz w:val="28"/>
          <w:szCs w:val="28"/>
        </w:rPr>
      </w:pP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Телекоммуникациялық жүйенің модулі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Көп каналды телекоммуникациялық желі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Информация таратудың сымсыз технологиясы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ұялы байланыс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Плезиохронды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синхронды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сандық иерархия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Информацияның маршрутизациясы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Аса кең жолақты телекоммуникация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i w:val="1"/>
          <w:iCs w:val="1"/>
          <w:sz w:val="28"/>
          <w:szCs w:val="28"/>
          <w:rtl w:val="0"/>
        </w:rPr>
      </w:pPr>
      <w:r>
        <w:rPr>
          <w:i w:val="0"/>
          <w:iCs w:val="0"/>
          <w:sz w:val="28"/>
          <w:szCs w:val="28"/>
          <w:rtl w:val="0"/>
        </w:rPr>
        <w:t>Сигналдарды жиіліктік бөлу</w:t>
      </w:r>
      <w:r>
        <w:rPr>
          <w:i w:val="0"/>
          <w:iCs w:val="0"/>
          <w:sz w:val="28"/>
          <w:szCs w:val="28"/>
          <w:rtl w:val="0"/>
        </w:rPr>
        <w:t xml:space="preserve">, </w:t>
      </w:r>
      <w:r>
        <w:rPr>
          <w:i w:val="0"/>
          <w:iCs w:val="0"/>
          <w:sz w:val="28"/>
          <w:szCs w:val="28"/>
          <w:rtl w:val="0"/>
        </w:rPr>
        <w:t>реализация шартын көрсетіңіз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Сигналдарды уақыт бойынша бөлу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реализация шартын көрсетіңіз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Каналдардың коммутациясы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 xml:space="preserve">коммутациялық нүктелер саны 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Антеннаның типтері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 xml:space="preserve">сипаттамалары 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Фазалық антенналық торлар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фракталдық антенналар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мысал келтіріңіз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Информацияны тығыздау үшін оптимальдық таңбалау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Сигналдарды кодтау хаттамалары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Сигналдарды модуляциялау хаттамалары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Интеллектуалды желілер туралы түсінік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нейрондық желі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